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02" w:rsidRDefault="006C6B1F">
      <w:pPr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 xml:space="preserve"> (</w:t>
      </w:r>
      <w:proofErr w:type="gramStart"/>
      <w:r>
        <w:rPr>
          <w:rFonts w:ascii="LiberationSans" w:hAnsi="LiberationSans" w:cs="LiberationSans"/>
        </w:rPr>
        <w:t>loi</w:t>
      </w:r>
      <w:proofErr w:type="gramEnd"/>
      <w:r>
        <w:rPr>
          <w:rFonts w:ascii="LiberationSans" w:hAnsi="LiberationSans" w:cs="LiberationSans"/>
        </w:rPr>
        <w:t xml:space="preserve"> n°</w:t>
      </w:r>
      <w:r w:rsidR="00D908E2" w:rsidRPr="00D908E2">
        <w:rPr>
          <w:rFonts w:ascii="LiberationSans" w:hAnsi="LiberationSans" w:cs="LiberationSans"/>
        </w:rPr>
        <w:t xml:space="preserve"> </w:t>
      </w:r>
      <w:r w:rsidR="00D908E2">
        <w:rPr>
          <w:rFonts w:ascii="LiberationSans" w:hAnsi="LiberationSans" w:cs="LiberationSans"/>
        </w:rPr>
        <w:t xml:space="preserve">loi </w:t>
      </w:r>
      <w:proofErr w:type="spellStart"/>
      <w:r w:rsidR="00D908E2">
        <w:rPr>
          <w:rFonts w:ascii="LiberationSans" w:hAnsi="LiberationSans" w:cs="LiberationSans"/>
        </w:rPr>
        <w:t>NOTRe</w:t>
      </w:r>
      <w:proofErr w:type="spellEnd"/>
      <w:r w:rsidR="00D908E2">
        <w:rPr>
          <w:rFonts w:ascii="LiberationSans" w:hAnsi="LiberationSans" w:cs="LiberationSans"/>
        </w:rPr>
        <w:t xml:space="preserve"> </w:t>
      </w:r>
      <w:r>
        <w:rPr>
          <w:rFonts w:ascii="LiberationSans" w:hAnsi="LiberationSans" w:cs="LiberationSans"/>
        </w:rPr>
        <w:t>2015-991 du 7 août 2015).</w:t>
      </w:r>
    </w:p>
    <w:p w:rsidR="006C6B1F" w:rsidRDefault="006C6B1F">
      <w:pPr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La loi n° 2015-991 du 7 août 2015</w:t>
      </w:r>
    </w:p>
    <w:p w:rsidR="00C5119D" w:rsidRDefault="00C5119D" w:rsidP="00C5119D">
      <w:pPr>
        <w:rPr>
          <w:rFonts w:ascii="LiberationSans" w:hAnsi="LiberationSans" w:cs="LiberationSans"/>
        </w:rPr>
      </w:pPr>
      <w:r w:rsidRPr="00C5119D">
        <w:rPr>
          <w:rFonts w:ascii="LiberationSans" w:hAnsi="LiberationSans" w:cs="LiberationSans"/>
        </w:rPr>
        <w:t>Le décret du 17 juin 2016, entré en vigueur le 20 juin 2016, adapte les dispositions réglementaires du</w:t>
      </w:r>
      <w:r>
        <w:rPr>
          <w:rFonts w:ascii="LiberationSans" w:hAnsi="LiberationSans" w:cs="LiberationSans"/>
        </w:rPr>
        <w:t xml:space="preserve"> </w:t>
      </w:r>
      <w:r w:rsidRPr="00C5119D">
        <w:rPr>
          <w:rFonts w:ascii="LiberationSans" w:hAnsi="LiberationSans" w:cs="LiberationSans"/>
        </w:rPr>
        <w:t xml:space="preserve">code de l’environnement aux nouveautés législatives apportées par la loi </w:t>
      </w:r>
      <w:proofErr w:type="spellStart"/>
      <w:r w:rsidRPr="00C5119D">
        <w:rPr>
          <w:rFonts w:ascii="LiberationSans" w:hAnsi="LiberationSans" w:cs="LiberationSans"/>
        </w:rPr>
        <w:t>NOTRe</w:t>
      </w:r>
      <w:proofErr w:type="spellEnd"/>
      <w:r w:rsidRPr="00C5119D">
        <w:rPr>
          <w:rFonts w:ascii="LiberationSans" w:hAnsi="LiberationSans" w:cs="LiberationSans"/>
        </w:rPr>
        <w:t xml:space="preserve"> du 7 août 2015, et</w:t>
      </w:r>
      <w:r>
        <w:rPr>
          <w:rFonts w:ascii="LiberationSans" w:hAnsi="LiberationSans" w:cs="LiberationSans"/>
        </w:rPr>
        <w:t xml:space="preserve"> </w:t>
      </w:r>
      <w:r w:rsidRPr="00C5119D">
        <w:rPr>
          <w:rFonts w:ascii="LiberationSans" w:hAnsi="LiberationSans" w:cs="LiberationSans"/>
        </w:rPr>
        <w:t>organise la nouvelle planification régionale en matière de déchets.</w:t>
      </w:r>
    </w:p>
    <w:p w:rsidR="006C6B1F" w:rsidRDefault="006C6B1F" w:rsidP="00C5119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proofErr w:type="gramStart"/>
      <w:r>
        <w:rPr>
          <w:rFonts w:ascii="LiberationSans" w:hAnsi="LiberationSans" w:cs="LiberationSans"/>
        </w:rPr>
        <w:t>loi</w:t>
      </w:r>
      <w:proofErr w:type="gramEnd"/>
      <w:r>
        <w:rPr>
          <w:rFonts w:ascii="LiberationSans" w:hAnsi="LiberationSans" w:cs="LiberationSans"/>
        </w:rPr>
        <w:t xml:space="preserve"> de transition énergétique pour la croissance verte (LTECV) du 17 août 2015, notamment la</w:t>
      </w:r>
      <w:r w:rsidR="00C5119D">
        <w:rPr>
          <w:rFonts w:ascii="LiberationSans" w:hAnsi="LiberationSans" w:cs="LiberationSans"/>
        </w:rPr>
        <w:t xml:space="preserve"> </w:t>
      </w:r>
      <w:r>
        <w:rPr>
          <w:rFonts w:ascii="LiberationSans" w:hAnsi="LiberationSans" w:cs="LiberationSans"/>
        </w:rPr>
        <w:t>diminution de 50 % de la quantité de déchets stockés d'ici 2025 et la valorisation de 70 % des</w:t>
      </w:r>
      <w:r w:rsidR="00C5119D">
        <w:rPr>
          <w:rFonts w:ascii="LiberationSans" w:hAnsi="LiberationSans" w:cs="LiberationSans"/>
        </w:rPr>
        <w:t xml:space="preserve"> </w:t>
      </w:r>
      <w:r>
        <w:rPr>
          <w:rFonts w:ascii="LiberationSans" w:hAnsi="LiberationSans" w:cs="LiberationSans"/>
        </w:rPr>
        <w:t>déchets du bâtiment d'ici 2020</w:t>
      </w:r>
      <w:r>
        <w:rPr>
          <w:rFonts w:ascii="LiberationSans" w:hAnsi="LiberationSans" w:cs="LiberationSans"/>
          <w:sz w:val="13"/>
          <w:szCs w:val="13"/>
        </w:rPr>
        <w:t>2</w:t>
      </w:r>
      <w:r>
        <w:rPr>
          <w:rFonts w:ascii="LiberationSans" w:hAnsi="LiberationSans" w:cs="LiberationSans"/>
        </w:rPr>
        <w:t>.</w:t>
      </w:r>
    </w:p>
    <w:p w:rsidR="00D908E2" w:rsidRDefault="00D908E2" w:rsidP="00C5119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D908E2" w:rsidRP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908E2">
        <w:rPr>
          <w:rFonts w:ascii="Arial" w:hAnsi="Arial" w:cs="Arial"/>
          <w:sz w:val="24"/>
          <w:szCs w:val="24"/>
        </w:rPr>
        <w:t>la</w:t>
      </w:r>
      <w:proofErr w:type="gramEnd"/>
      <w:r w:rsidRPr="00D908E2">
        <w:rPr>
          <w:rFonts w:ascii="Arial" w:hAnsi="Arial" w:cs="Arial"/>
          <w:sz w:val="24"/>
          <w:szCs w:val="24"/>
        </w:rPr>
        <w:t xml:space="preserve"> loi relatives à la Transition Energétique (LTECV).</w:t>
      </w:r>
    </w:p>
    <w:p w:rsidR="00D908E2" w:rsidRP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08E2">
        <w:rPr>
          <w:rFonts w:ascii="Arial" w:hAnsi="Arial" w:cs="Arial"/>
          <w:sz w:val="24"/>
          <w:szCs w:val="24"/>
        </w:rPr>
        <w:t>L'article 70-V de cette loi pose de nombreux objectifs, certains se rapportant à la prévention :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908E2">
        <w:rPr>
          <w:rFonts w:ascii="Arial" w:hAnsi="Arial" w:cs="Arial"/>
          <w:i/>
          <w:iCs/>
          <w:sz w:val="24"/>
          <w:szCs w:val="24"/>
        </w:rPr>
        <w:t>« 1°Donner la priorité à la prévention et à la réduction de la production de déchets, en réduisant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908E2">
        <w:rPr>
          <w:rFonts w:ascii="Arial" w:hAnsi="Arial" w:cs="Arial"/>
          <w:i/>
          <w:iCs/>
          <w:sz w:val="24"/>
          <w:szCs w:val="24"/>
        </w:rPr>
        <w:t>de 10 % les quantités de déchets ménagers et assimilés produits par habitant et en réduisant les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908E2">
        <w:rPr>
          <w:rFonts w:ascii="Arial" w:hAnsi="Arial" w:cs="Arial"/>
          <w:i/>
          <w:iCs/>
          <w:sz w:val="24"/>
          <w:szCs w:val="24"/>
        </w:rPr>
        <w:t>quantités de déchets d'activités économiques par unité de valeur produite, notamment du secteur du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908E2">
        <w:rPr>
          <w:rFonts w:ascii="Arial" w:hAnsi="Arial" w:cs="Arial"/>
          <w:i/>
          <w:iCs/>
          <w:sz w:val="24"/>
          <w:szCs w:val="24"/>
        </w:rPr>
        <w:t>bâtiment et des travaux publics, en 2020 par rapport à 2010 (...)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Augmenter la quantité de déchets faisant l'objet d'une valorisation sous forme de matière,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notamment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organique, en orientant vers ces filières de valorisation, respectivement, 55 % en 2020 et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65 % en 2025 des déchets non dangereux non inertes, mesurés en masse.</w:t>
      </w:r>
      <w:r w:rsidRPr="00D908E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Le service public de gestion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des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déchets décline localement ces objectifs pour réduire les quantités d'ordures ménagères résiduelles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FFFFFF"/>
          <w:sz w:val="18"/>
          <w:szCs w:val="18"/>
        </w:rPr>
      </w:pPr>
      <w:r>
        <w:rPr>
          <w:rFonts w:ascii="CenturyGothic-Bold" w:hAnsi="CenturyGothic-Bold" w:cs="CenturyGothic-Bold"/>
          <w:b/>
          <w:bCs/>
          <w:color w:val="FFFFFF"/>
          <w:sz w:val="18"/>
          <w:szCs w:val="18"/>
        </w:rPr>
        <w:t>Rapport environnemental – REGION OCCITANIE – PRPGD Occitanie 41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A7261"/>
          <w:sz w:val="18"/>
          <w:szCs w:val="18"/>
        </w:rPr>
      </w:pPr>
      <w:r>
        <w:rPr>
          <w:rFonts w:ascii="Arial" w:hAnsi="Arial" w:cs="Arial"/>
          <w:color w:val="7A7261"/>
          <w:sz w:val="18"/>
          <w:szCs w:val="18"/>
        </w:rPr>
        <w:t xml:space="preserve">Cabinet </w:t>
      </w:r>
      <w:proofErr w:type="spellStart"/>
      <w:r>
        <w:rPr>
          <w:rFonts w:ascii="Arial" w:hAnsi="Arial" w:cs="Arial"/>
          <w:color w:val="7A7261"/>
          <w:sz w:val="18"/>
          <w:szCs w:val="18"/>
        </w:rPr>
        <w:t>Ectare</w:t>
      </w:r>
      <w:proofErr w:type="spellEnd"/>
      <w:r>
        <w:rPr>
          <w:rFonts w:ascii="Arial" w:hAnsi="Arial" w:cs="Arial"/>
          <w:color w:val="7A7261"/>
          <w:sz w:val="18"/>
          <w:szCs w:val="18"/>
        </w:rPr>
        <w:t xml:space="preserve"> - 96070 Janvier 2019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après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valorisation. A cet effet, il progresse dans le développement du tri à la source des déchets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organiques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, jusqu'à sa généralisation pour tous les producteurs de déchets avant 2025, pour que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chaque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citoyen ait à sa disposition une solution lui permettant de ne pas jeter ses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biodéchets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dans les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ordures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ménagères résiduelles, afin que ceux-ci ne soient plus éliminés, mais valorisés. La collectivité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territoriale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définit des solutions techniques de compostage de proximité ou de collecte séparée des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biodéchets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et un rythme de déploiement adaptés à son territoire. (...) Les collectivités territoriales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progressent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vers la généralisation d'une tarification incitative en matière de déchets, avec pour objectif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que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quinze millions d'habitants soient couverts par cette dernière en 2020 et vingt-cinq millions en 2025</w:t>
      </w:r>
    </w:p>
    <w:p w:rsid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; (...)</w:t>
      </w:r>
    </w:p>
    <w:p w:rsidR="00D908E2" w:rsidRPr="00D908E2" w:rsidRDefault="00D908E2" w:rsidP="00D908E2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</w:rPr>
      </w:pPr>
    </w:p>
    <w:p w:rsidR="00C5119D" w:rsidRDefault="00C5119D" w:rsidP="00C5119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C5119D" w:rsidRDefault="006C6B1F" w:rsidP="006C6B1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>LOI n° 2015-992 du 17 août 2015 relative à la transition énergétique pour la croissance verte (1), Titre IV : Lutter</w:t>
      </w:r>
      <w:r w:rsidR="00C5119D">
        <w:rPr>
          <w:rFonts w:ascii="LiberationSerif" w:hAnsi="LiberationSerif" w:cs="LiberationSerif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 xml:space="preserve">contre les gaspillages et promouvoir l'économie circulaire : de la conception des produits à leur </w:t>
      </w:r>
      <w:proofErr w:type="gramStart"/>
      <w:r>
        <w:rPr>
          <w:rFonts w:ascii="LiberationSerif" w:hAnsi="LiberationSerif" w:cs="LiberationSerif"/>
          <w:sz w:val="20"/>
          <w:szCs w:val="20"/>
        </w:rPr>
        <w:t>recyclage ,</w:t>
      </w:r>
      <w:proofErr w:type="gramEnd"/>
      <w:r>
        <w:rPr>
          <w:rFonts w:ascii="LiberationSerif" w:hAnsi="LiberationSerif" w:cs="LiberationSerif"/>
          <w:sz w:val="20"/>
          <w:szCs w:val="20"/>
        </w:rPr>
        <w:t xml:space="preserve"> </w:t>
      </w:r>
    </w:p>
    <w:p w:rsidR="00C5119D" w:rsidRDefault="00C5119D" w:rsidP="006C6B1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</w:p>
    <w:p w:rsidR="006C6B1F" w:rsidRDefault="006C6B1F" w:rsidP="006C6B1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>article</w:t>
      </w:r>
      <w:r w:rsidR="00C5119D">
        <w:rPr>
          <w:rFonts w:ascii="LiberationSerif" w:hAnsi="LiberationSerif" w:cs="LiberationSerif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 xml:space="preserve">70 </w:t>
      </w:r>
      <w:proofErr w:type="gramStart"/>
      <w:r>
        <w:rPr>
          <w:rFonts w:ascii="LiberationSerif" w:hAnsi="LiberationSerif" w:cs="LiberationSerif"/>
          <w:sz w:val="20"/>
          <w:szCs w:val="20"/>
        </w:rPr>
        <w:t>« ..</w:t>
      </w:r>
      <w:proofErr w:type="gramEnd"/>
      <w:r>
        <w:rPr>
          <w:rFonts w:ascii="LiberationSerif" w:hAnsi="LiberationSerif" w:cs="LiberationSerif"/>
          <w:sz w:val="20"/>
          <w:szCs w:val="20"/>
        </w:rPr>
        <w:t xml:space="preserve"> « 6° Valoriser sous forme de matière 70 % des déchets du secteur du bâtiment et des travaux publics en</w:t>
      </w:r>
    </w:p>
    <w:p w:rsidR="006C6B1F" w:rsidRDefault="006C6B1F" w:rsidP="006C6B1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>2020 »</w:t>
      </w:r>
    </w:p>
    <w:p w:rsidR="006C6B1F" w:rsidRDefault="007D505B">
      <w:pPr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br/>
      </w:r>
      <w:proofErr w:type="gramStart"/>
      <w:r w:rsidR="006C6B1F">
        <w:rPr>
          <w:rFonts w:ascii="LiberationSans" w:hAnsi="LiberationSans" w:cs="LiberationSans"/>
        </w:rPr>
        <w:t>l'article</w:t>
      </w:r>
      <w:proofErr w:type="gramEnd"/>
      <w:r w:rsidR="006C6B1F">
        <w:rPr>
          <w:rFonts w:ascii="LiberationSans" w:hAnsi="LiberationSans" w:cs="LiberationSans"/>
        </w:rPr>
        <w:t xml:space="preserve"> R. 122-17 du code de l’environnement</w:t>
      </w:r>
    </w:p>
    <w:p w:rsidR="007D505B" w:rsidRDefault="007D505B">
      <w:proofErr w:type="gramStart"/>
      <w:r>
        <w:t>article</w:t>
      </w:r>
      <w:proofErr w:type="gramEnd"/>
      <w:r>
        <w:t xml:space="preserve"> R. 541-16 du Code de l'Environnement. Il définit également des indicateurs de suivi annuels. Il constitue un outil réglementaire structurant pour tous les acteurs publics et privés du territoire. Il est </w:t>
      </w:r>
      <w:r>
        <w:lastRenderedPageBreak/>
        <w:t>accompagné d'un rapport environnemental établi conformément aux dispositions des articles L.122-6 et R.122-20 du Code de l'Environnement.</w:t>
      </w:r>
    </w:p>
    <w:p w:rsidR="002A4672" w:rsidRDefault="002A4672">
      <w:pPr>
        <w:rPr>
          <w:rFonts w:ascii="LiberationSans" w:hAnsi="LiberationSans" w:cs="LiberationSans"/>
        </w:rPr>
      </w:pPr>
      <w:r>
        <w:t>Code de l'Environnement, et notamment de ses articles L. 123-1 et suivants, L. 541-14 à L-541-15, R. 123-1 et suivants et R. 541-13 et suivants.</w:t>
      </w:r>
    </w:p>
    <w:p w:rsidR="006C6B1F" w:rsidRDefault="006C6B1F">
      <w:pPr>
        <w:rPr>
          <w:rFonts w:ascii="LiberationSans" w:hAnsi="LiberationSans" w:cs="LiberationSans"/>
        </w:rPr>
      </w:pPr>
    </w:p>
    <w:p w:rsidR="006C6B1F" w:rsidRDefault="006C6B1F"/>
    <w:sectPr w:rsidR="006C6B1F" w:rsidSect="0069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B1F"/>
    <w:rsid w:val="0001280E"/>
    <w:rsid w:val="002A4672"/>
    <w:rsid w:val="00323523"/>
    <w:rsid w:val="00691A02"/>
    <w:rsid w:val="006C6B1F"/>
    <w:rsid w:val="007D505B"/>
    <w:rsid w:val="007E1137"/>
    <w:rsid w:val="00C5119D"/>
    <w:rsid w:val="00D9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323523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</dc:creator>
  <cp:keywords/>
  <dc:description/>
  <cp:lastModifiedBy>Nom</cp:lastModifiedBy>
  <cp:revision>2</cp:revision>
  <dcterms:created xsi:type="dcterms:W3CDTF">2019-06-04T17:39:00Z</dcterms:created>
  <dcterms:modified xsi:type="dcterms:W3CDTF">2019-06-04T22:29:00Z</dcterms:modified>
</cp:coreProperties>
</file>